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E0" w:rsidRDefault="00FB27E0" w:rsidP="00B37DCD">
      <w:pPr>
        <w:shd w:val="clear" w:color="auto" w:fill="FFFFFF"/>
        <w:autoSpaceDE w:val="0"/>
        <w:autoSpaceDN w:val="0"/>
        <w:ind w:left="720"/>
        <w:rPr>
          <w:color w:val="1F497D"/>
        </w:rPr>
      </w:pPr>
      <w:bookmarkStart w:id="0" w:name="_GoBack"/>
      <w:bookmarkEnd w:id="0"/>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FB27E0" w:rsidRPr="00E36749" w:rsidTr="00550163">
        <w:trPr>
          <w:cantSplit/>
        </w:trPr>
        <w:tc>
          <w:tcPr>
            <w:tcW w:w="4687" w:type="dxa"/>
          </w:tcPr>
          <w:p w:rsidR="00FB27E0" w:rsidRPr="00E36749" w:rsidRDefault="00FB27E0" w:rsidP="00550163">
            <w:pPr>
              <w:tabs>
                <w:tab w:val="left" w:pos="1080"/>
              </w:tabs>
              <w:jc w:val="center"/>
              <w:rPr>
                <w:rFonts w:ascii="Arial" w:hAnsi="Arial" w:cs="Arial"/>
                <w:b/>
                <w:sz w:val="18"/>
                <w:szCs w:val="18"/>
              </w:rPr>
            </w:pPr>
            <w:r w:rsidRPr="00E36749">
              <w:rPr>
                <w:rFonts w:ascii="Arial" w:hAnsi="Arial" w:cs="Arial"/>
                <w:b/>
                <w:sz w:val="18"/>
                <w:szCs w:val="18"/>
              </w:rPr>
              <w:br w:type="page"/>
            </w:r>
            <w:r w:rsidRPr="00E36749">
              <w:rPr>
                <w:rFonts w:ascii="Arial" w:hAnsi="Arial" w:cs="Arial"/>
                <w:sz w:val="18"/>
                <w:szCs w:val="18"/>
              </w:rPr>
              <w:br w:type="page"/>
            </w:r>
            <w:r w:rsidRPr="00E36749">
              <w:rPr>
                <w:rFonts w:ascii="Arial" w:hAnsi="Arial" w:cs="Arial"/>
                <w:b/>
                <w:sz w:val="18"/>
                <w:szCs w:val="18"/>
              </w:rPr>
              <w:br w:type="page"/>
            </w:r>
            <w:r w:rsidRPr="00E36749">
              <w:rPr>
                <w:rFonts w:ascii="Arial" w:hAnsi="Arial" w:cs="Arial"/>
                <w:sz w:val="18"/>
                <w:szCs w:val="18"/>
              </w:rPr>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56.95pt" o:ole="">
                  <v:imagedata r:id="rId4" o:title=""/>
                </v:shape>
                <o:OLEObject Type="Embed" ProgID="MSPhotoEd.3" ShapeID="_x0000_i1025" DrawAspect="Content" ObjectID="_1593862776" r:id="rId5"/>
              </w:object>
            </w:r>
          </w:p>
          <w:p w:rsidR="00FB27E0" w:rsidRPr="00E36749" w:rsidRDefault="00FB27E0" w:rsidP="00550163">
            <w:pPr>
              <w:tabs>
                <w:tab w:val="left" w:pos="1080"/>
              </w:tabs>
              <w:jc w:val="center"/>
              <w:rPr>
                <w:rFonts w:ascii="Arial" w:hAnsi="Arial" w:cs="Arial"/>
                <w:b/>
                <w:sz w:val="18"/>
                <w:szCs w:val="18"/>
              </w:rPr>
            </w:pPr>
          </w:p>
          <w:p w:rsidR="00FB27E0" w:rsidRPr="00E36749" w:rsidRDefault="00FB27E0" w:rsidP="00550163">
            <w:pPr>
              <w:tabs>
                <w:tab w:val="left" w:pos="1080"/>
              </w:tabs>
              <w:jc w:val="center"/>
              <w:rPr>
                <w:rFonts w:ascii="Arial" w:hAnsi="Arial" w:cs="Arial"/>
                <w:b/>
                <w:sz w:val="18"/>
                <w:szCs w:val="18"/>
              </w:rPr>
            </w:pPr>
            <w:r w:rsidRPr="00E36749">
              <w:rPr>
                <w:rFonts w:ascii="Arial" w:hAnsi="Arial" w:cs="Arial"/>
                <w:b/>
                <w:sz w:val="18"/>
                <w:szCs w:val="18"/>
              </w:rPr>
              <w:t>Division of Finance and Business Operations</w:t>
            </w:r>
          </w:p>
        </w:tc>
        <w:tc>
          <w:tcPr>
            <w:tcW w:w="2790" w:type="dxa"/>
          </w:tcPr>
          <w:p w:rsidR="00FB27E0" w:rsidRPr="00E36749" w:rsidRDefault="00FB27E0" w:rsidP="00550163">
            <w:pPr>
              <w:tabs>
                <w:tab w:val="left" w:pos="1080"/>
              </w:tabs>
              <w:rPr>
                <w:rFonts w:ascii="Arial" w:hAnsi="Arial" w:cs="Arial"/>
                <w:sz w:val="18"/>
                <w:szCs w:val="18"/>
              </w:rPr>
            </w:pPr>
          </w:p>
        </w:tc>
        <w:tc>
          <w:tcPr>
            <w:tcW w:w="3609" w:type="dxa"/>
          </w:tcPr>
          <w:p w:rsidR="00FB27E0" w:rsidRPr="00E36749" w:rsidRDefault="00FB27E0" w:rsidP="00550163">
            <w:pPr>
              <w:tabs>
                <w:tab w:val="left" w:pos="1080"/>
              </w:tabs>
              <w:rPr>
                <w:rFonts w:ascii="Arial" w:hAnsi="Arial" w:cs="Arial"/>
                <w:b/>
                <w:sz w:val="18"/>
                <w:szCs w:val="18"/>
              </w:rPr>
            </w:pPr>
          </w:p>
          <w:p w:rsidR="00FB27E0" w:rsidRPr="00E36749" w:rsidRDefault="00FB27E0" w:rsidP="00550163">
            <w:pPr>
              <w:tabs>
                <w:tab w:val="left" w:pos="1080"/>
              </w:tabs>
              <w:rPr>
                <w:rFonts w:ascii="Arial" w:hAnsi="Arial" w:cs="Arial"/>
                <w:b/>
                <w:sz w:val="18"/>
                <w:szCs w:val="18"/>
              </w:rPr>
            </w:pPr>
            <w:r w:rsidRPr="00E36749">
              <w:rPr>
                <w:rFonts w:ascii="Arial" w:hAnsi="Arial" w:cs="Arial"/>
                <w:b/>
                <w:sz w:val="18"/>
                <w:szCs w:val="18"/>
              </w:rPr>
              <w:t xml:space="preserve">   </w:t>
            </w:r>
          </w:p>
          <w:p w:rsidR="00FB27E0" w:rsidRPr="00E36749" w:rsidRDefault="00FB27E0" w:rsidP="00550163">
            <w:pPr>
              <w:tabs>
                <w:tab w:val="left" w:pos="1080"/>
              </w:tabs>
              <w:rPr>
                <w:rFonts w:ascii="Arial" w:hAnsi="Arial" w:cs="Arial"/>
                <w:b/>
                <w:sz w:val="18"/>
                <w:szCs w:val="18"/>
              </w:rPr>
            </w:pPr>
            <w:r w:rsidRPr="00E36749">
              <w:rPr>
                <w:rFonts w:ascii="Arial" w:hAnsi="Arial" w:cs="Arial"/>
                <w:b/>
                <w:sz w:val="18"/>
                <w:szCs w:val="18"/>
              </w:rPr>
              <w:t xml:space="preserve">Procurement &amp; Strategic Sourcing  </w:t>
            </w:r>
          </w:p>
          <w:p w:rsidR="00FB27E0" w:rsidRPr="00E36749" w:rsidRDefault="00FB27E0" w:rsidP="00550163">
            <w:pPr>
              <w:tabs>
                <w:tab w:val="left" w:pos="1080"/>
              </w:tabs>
              <w:rPr>
                <w:rFonts w:ascii="Arial" w:hAnsi="Arial" w:cs="Arial"/>
                <w:b/>
                <w:sz w:val="18"/>
                <w:szCs w:val="18"/>
              </w:rPr>
            </w:pPr>
            <w:r w:rsidRPr="00E36749">
              <w:rPr>
                <w:rFonts w:ascii="Arial" w:hAnsi="Arial" w:cs="Arial"/>
                <w:b/>
                <w:sz w:val="18"/>
                <w:szCs w:val="18"/>
              </w:rPr>
              <w:t>5700 Cass Avenue, suite 4200</w:t>
            </w:r>
          </w:p>
          <w:p w:rsidR="00FB27E0" w:rsidRPr="00E36749" w:rsidRDefault="00FB27E0" w:rsidP="00550163">
            <w:pPr>
              <w:tabs>
                <w:tab w:val="left" w:pos="1080"/>
              </w:tabs>
              <w:rPr>
                <w:rFonts w:ascii="Arial" w:hAnsi="Arial" w:cs="Arial"/>
                <w:b/>
                <w:sz w:val="18"/>
                <w:szCs w:val="18"/>
              </w:rPr>
            </w:pPr>
            <w:r w:rsidRPr="00E36749">
              <w:rPr>
                <w:rFonts w:ascii="Arial" w:hAnsi="Arial" w:cs="Arial"/>
                <w:b/>
                <w:sz w:val="18"/>
                <w:szCs w:val="18"/>
              </w:rPr>
              <w:t>Detroit, Michigan   48202</w:t>
            </w:r>
          </w:p>
          <w:p w:rsidR="00FB27E0" w:rsidRPr="00E36749" w:rsidRDefault="00FB27E0" w:rsidP="00550163">
            <w:pPr>
              <w:tabs>
                <w:tab w:val="left" w:pos="1080"/>
              </w:tabs>
              <w:rPr>
                <w:rFonts w:ascii="Arial" w:hAnsi="Arial" w:cs="Arial"/>
                <w:b/>
                <w:sz w:val="18"/>
                <w:szCs w:val="18"/>
              </w:rPr>
            </w:pPr>
            <w:r w:rsidRPr="00E36749">
              <w:rPr>
                <w:rFonts w:ascii="Arial" w:hAnsi="Arial" w:cs="Arial"/>
                <w:b/>
                <w:sz w:val="18"/>
                <w:szCs w:val="18"/>
              </w:rPr>
              <w:t xml:space="preserve">(313) 577-3734 </w:t>
            </w:r>
          </w:p>
          <w:p w:rsidR="00FB27E0" w:rsidRPr="00E36749" w:rsidRDefault="00FB27E0" w:rsidP="00550163">
            <w:pPr>
              <w:tabs>
                <w:tab w:val="left" w:pos="1080"/>
              </w:tabs>
              <w:rPr>
                <w:rFonts w:ascii="Arial" w:hAnsi="Arial" w:cs="Arial"/>
                <w:b/>
                <w:sz w:val="18"/>
                <w:szCs w:val="18"/>
              </w:rPr>
            </w:pPr>
            <w:r w:rsidRPr="00E36749">
              <w:rPr>
                <w:rFonts w:ascii="Arial" w:hAnsi="Arial" w:cs="Arial"/>
                <w:b/>
                <w:sz w:val="18"/>
                <w:szCs w:val="18"/>
              </w:rPr>
              <w:t>FAX (313) 577-3747</w:t>
            </w:r>
          </w:p>
        </w:tc>
      </w:tr>
    </w:tbl>
    <w:p w:rsidR="00FB27E0" w:rsidRPr="00E36749" w:rsidRDefault="00FB27E0" w:rsidP="00FB27E0">
      <w:pPr>
        <w:pStyle w:val="FootnoteText"/>
        <w:rPr>
          <w:rFonts w:ascii="Arial" w:hAnsi="Arial" w:cs="Arial"/>
          <w:b/>
          <w:sz w:val="18"/>
        </w:rPr>
      </w:pPr>
    </w:p>
    <w:p w:rsidR="00FB27E0" w:rsidRDefault="00FB27E0" w:rsidP="00B37DCD">
      <w:pPr>
        <w:shd w:val="clear" w:color="auto" w:fill="FFFFFF"/>
        <w:autoSpaceDE w:val="0"/>
        <w:autoSpaceDN w:val="0"/>
        <w:ind w:left="720"/>
        <w:rPr>
          <w:color w:val="1F497D"/>
        </w:rPr>
      </w:pPr>
    </w:p>
    <w:p w:rsidR="00FB27E0" w:rsidRDefault="00FB27E0" w:rsidP="00B37DCD">
      <w:pPr>
        <w:shd w:val="clear" w:color="auto" w:fill="FFFFFF"/>
        <w:autoSpaceDE w:val="0"/>
        <w:autoSpaceDN w:val="0"/>
        <w:ind w:left="720"/>
        <w:rPr>
          <w:color w:val="1F497D"/>
        </w:rPr>
      </w:pPr>
    </w:p>
    <w:p w:rsidR="00B37DCD" w:rsidRDefault="00B37DCD" w:rsidP="00B37DCD">
      <w:pPr>
        <w:shd w:val="clear" w:color="auto" w:fill="FFFFFF"/>
        <w:autoSpaceDE w:val="0"/>
        <w:autoSpaceDN w:val="0"/>
        <w:ind w:left="720"/>
        <w:rPr>
          <w:color w:val="1F497D"/>
        </w:rPr>
      </w:pPr>
      <w:r>
        <w:rPr>
          <w:color w:val="1F497D"/>
        </w:rPr>
        <w:t>We’ve reserved a conference room 3700 AAB, up on the 3</w:t>
      </w:r>
      <w:r>
        <w:rPr>
          <w:color w:val="1F497D"/>
          <w:vertAlign w:val="superscript"/>
        </w:rPr>
        <w:t>rd</w:t>
      </w:r>
      <w:r>
        <w:rPr>
          <w:color w:val="1F497D"/>
        </w:rPr>
        <w:t xml:space="preserve"> floor of the Wayne State University Academic / Administration Building at 5700 Cass Avenue. This is a public building, so you won’t have to stop at a security desk, but can proceed immediately to the elevators.  Turn right when you exit the elevator and follow the paper signs taped to the wall for conference room.  Below is parking information.  However, there is also meter parking on Cass between Palmer and I94 that is probably less expensive, if you’re already enrolled in the City’s new </w:t>
      </w:r>
      <w:proofErr w:type="spellStart"/>
      <w:r>
        <w:rPr>
          <w:color w:val="1F497D"/>
        </w:rPr>
        <w:t>meterless</w:t>
      </w:r>
      <w:proofErr w:type="spellEnd"/>
      <w:r>
        <w:rPr>
          <w:color w:val="1F497D"/>
        </w:rPr>
        <w:t xml:space="preserve"> system.</w:t>
      </w:r>
    </w:p>
    <w:p w:rsidR="00B37DCD" w:rsidRDefault="00B37DCD" w:rsidP="00B37DCD">
      <w:pPr>
        <w:shd w:val="clear" w:color="auto" w:fill="FFFFFF"/>
        <w:autoSpaceDE w:val="0"/>
        <w:autoSpaceDN w:val="0"/>
        <w:ind w:left="720"/>
        <w:rPr>
          <w:color w:val="1F497D"/>
        </w:rPr>
      </w:pPr>
    </w:p>
    <w:p w:rsidR="00B37DCD" w:rsidRDefault="00B37DCD" w:rsidP="00B37DCD">
      <w:pPr>
        <w:shd w:val="clear" w:color="auto" w:fill="FFFFFF"/>
        <w:autoSpaceDE w:val="0"/>
        <w:autoSpaceDN w:val="0"/>
        <w:ind w:left="1440"/>
        <w:rPr>
          <w:color w:val="000000"/>
        </w:rPr>
      </w:pPr>
      <w:r>
        <w:rPr>
          <w:color w:val="000000"/>
        </w:rPr>
        <w:t xml:space="preserve">· </w:t>
      </w:r>
      <w:hyperlink r:id="rId6" w:tgtFrame="_blank" w:history="1">
        <w:r>
          <w:rPr>
            <w:rStyle w:val="Hyperlink"/>
          </w:rPr>
          <w:t>Driving directions to Wayne State University</w:t>
        </w:r>
      </w:hyperlink>
    </w:p>
    <w:p w:rsidR="00B37DCD" w:rsidRDefault="00B37DCD" w:rsidP="00B37DCD">
      <w:pPr>
        <w:shd w:val="clear" w:color="auto" w:fill="FFFFFF"/>
        <w:autoSpaceDE w:val="0"/>
        <w:autoSpaceDN w:val="0"/>
        <w:ind w:left="1440"/>
        <w:rPr>
          <w:color w:val="000000"/>
        </w:rPr>
      </w:pPr>
      <w:r>
        <w:rPr>
          <w:color w:val="000000"/>
        </w:rPr>
        <w:t xml:space="preserve">· </w:t>
      </w:r>
      <w:hyperlink r:id="rId7" w:tgtFrame="_blank" w:history="1">
        <w:r>
          <w:rPr>
            <w:rStyle w:val="Hyperlink"/>
          </w:rPr>
          <w:t>Our exact location on campus</w:t>
        </w:r>
      </w:hyperlink>
    </w:p>
    <w:p w:rsidR="00B37DCD" w:rsidRDefault="00B37DCD" w:rsidP="00B37DCD">
      <w:pPr>
        <w:shd w:val="clear" w:color="auto" w:fill="FFFFFF"/>
        <w:autoSpaceDE w:val="0"/>
        <w:autoSpaceDN w:val="0"/>
        <w:ind w:left="1440"/>
        <w:rPr>
          <w:color w:val="000000"/>
        </w:rPr>
      </w:pPr>
      <w:r>
        <w:rPr>
          <w:color w:val="000000"/>
        </w:rPr>
        <w:t xml:space="preserve">· </w:t>
      </w:r>
      <w:hyperlink r:id="rId8" w:tgtFrame="_blank" w:history="1">
        <w:r>
          <w:rPr>
            <w:rStyle w:val="Hyperlink"/>
          </w:rPr>
          <w:t>Parking Lot 23</w:t>
        </w:r>
      </w:hyperlink>
      <w:r>
        <w:rPr>
          <w:color w:val="000000"/>
        </w:rPr>
        <w:t xml:space="preserve"> (Cost is $7.75 per access</w:t>
      </w:r>
      <w:r>
        <w:rPr>
          <w:b/>
          <w:bCs/>
          <w:color w:val="000000"/>
        </w:rPr>
        <w:t xml:space="preserve"> cash</w:t>
      </w:r>
      <w:r>
        <w:rPr>
          <w:color w:val="000000"/>
        </w:rPr>
        <w:t>)</w:t>
      </w:r>
    </w:p>
    <w:p w:rsidR="00B37DCD" w:rsidRDefault="00B37DCD" w:rsidP="00B37DCD">
      <w:pPr>
        <w:shd w:val="clear" w:color="auto" w:fill="FFFFFF"/>
        <w:autoSpaceDE w:val="0"/>
        <w:autoSpaceDN w:val="0"/>
        <w:ind w:left="1440"/>
        <w:rPr>
          <w:color w:val="000000"/>
        </w:rPr>
      </w:pPr>
      <w:r>
        <w:rPr>
          <w:color w:val="000000"/>
        </w:rPr>
        <w:t xml:space="preserve">· </w:t>
      </w:r>
      <w:hyperlink r:id="rId9" w:tgtFrame="_blank" w:history="1">
        <w:r>
          <w:rPr>
            <w:rStyle w:val="Hyperlink"/>
          </w:rPr>
          <w:t>Parking Structure 1</w:t>
        </w:r>
      </w:hyperlink>
      <w:r>
        <w:rPr>
          <w:color w:val="000000"/>
        </w:rPr>
        <w:t xml:space="preserve"> (Cost is $7.75 per access</w:t>
      </w:r>
      <w:r>
        <w:rPr>
          <w:b/>
          <w:bCs/>
          <w:color w:val="000000"/>
        </w:rPr>
        <w:t xml:space="preserve"> credit card</w:t>
      </w:r>
      <w:r>
        <w:rPr>
          <w:color w:val="000000"/>
        </w:rPr>
        <w:t>)</w:t>
      </w:r>
    </w:p>
    <w:p w:rsidR="00B37DCD" w:rsidRDefault="00B37DCD" w:rsidP="00B37DCD">
      <w:pPr>
        <w:ind w:left="720"/>
        <w:rPr>
          <w:color w:val="000000"/>
        </w:rPr>
      </w:pPr>
      <w:r>
        <w:rPr>
          <w:color w:val="1F497D"/>
        </w:rPr>
        <w:t> </w:t>
      </w:r>
    </w:p>
    <w:p w:rsidR="00FB27E0" w:rsidRPr="00FB27E0" w:rsidRDefault="00FB27E0" w:rsidP="00FB27E0">
      <w:pPr>
        <w:ind w:left="720"/>
        <w:rPr>
          <w:color w:val="1F497D"/>
        </w:rPr>
      </w:pPr>
      <w:r w:rsidRPr="00FB27E0">
        <w:rPr>
          <w:color w:val="1F497D"/>
        </w:rPr>
        <w:t>Additional Details for University Parking can be found at:</w:t>
      </w:r>
    </w:p>
    <w:p w:rsidR="00C20D3E" w:rsidRDefault="00FB27E0" w:rsidP="00FB27E0">
      <w:pPr>
        <w:ind w:left="720"/>
      </w:pPr>
      <w:r>
        <w:t xml:space="preserve"> </w:t>
      </w:r>
      <w:hyperlink r:id="rId10" w:history="1">
        <w:r w:rsidRPr="007B3BBF">
          <w:rPr>
            <w:rStyle w:val="Hyperlink"/>
          </w:rPr>
          <w:t>https://procurement.wayne.edu/cash-and-credit-card-lots</w:t>
        </w:r>
      </w:hyperlink>
      <w:r>
        <w:t xml:space="preserve"> </w:t>
      </w:r>
    </w:p>
    <w:sectPr w:rsidR="00C2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CD"/>
    <w:rsid w:val="00AD7A30"/>
    <w:rsid w:val="00B37DCD"/>
    <w:rsid w:val="00C20D3E"/>
    <w:rsid w:val="00FB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7AB7986-E82F-473F-B2E8-F250B7E0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DCD"/>
    <w:rPr>
      <w:color w:val="0000FF"/>
      <w:u w:val="single"/>
    </w:rPr>
  </w:style>
  <w:style w:type="paragraph" w:styleId="FootnoteText">
    <w:name w:val="footnote text"/>
    <w:basedOn w:val="Normal"/>
    <w:link w:val="FootnoteTextChar"/>
    <w:rsid w:val="00FB27E0"/>
    <w:rPr>
      <w:rFonts w:ascii="Times New Roman" w:eastAsia="Times New Roman" w:hAnsi="Times New Roman"/>
      <w:sz w:val="20"/>
      <w:szCs w:val="20"/>
    </w:rPr>
  </w:style>
  <w:style w:type="character" w:customStyle="1" w:styleId="FootnoteTextChar">
    <w:name w:val="Footnote Text Char"/>
    <w:basedOn w:val="DefaultParagraphFont"/>
    <w:link w:val="FootnoteText"/>
    <w:rsid w:val="00FB27E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maps.wayne.edu_view_-23lot-2D23&amp;d=DwMGaQ&amp;c=dpqHD2syzBCa0pPNCKl-DvX7tsADTsJ29aUMnGj5D6k&amp;r=0FCnM-cqnMeOk_phAsEqTjpDQjEzpUfmYKUyohJZK7E&amp;m=Pq1OPvlfZwwdoOiCTSroKLmLeyTcLvdzRCC7rKHBdS4&amp;s=8wFW3vqhwhXU-0cHBgQkGN38k2tzelB0d-nAaX1hhFo&amp;e=" TargetMode="External"/><Relationship Id="rId3" Type="http://schemas.openxmlformats.org/officeDocument/2006/relationships/webSettings" Target="webSettings.xml"/><Relationship Id="rId7" Type="http://schemas.openxmlformats.org/officeDocument/2006/relationships/hyperlink" Target="https://urldefense.proofpoint.com/v2/url?u=http-3A__maps.wayne.edu_view_-23academic-2Dadministrative&amp;d=DwMGaQ&amp;c=dpqHD2syzBCa0pPNCKl-DvX7tsADTsJ29aUMnGj5D6k&amp;r=0FCnM-cqnMeOk_phAsEqTjpDQjEzpUfmYKUyohJZK7E&amp;m=Pq1OPvlfZwwdoOiCTSroKLmLeyTcLvdzRCC7rKHBdS4&amp;s=GkhVn6hm9P770LwQlbufajedzXnJMUnAgCsKGwWGzkY&am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procurement.wayne.edu_driving-5Fdirections-2Dto-5Fcampus.php&amp;d=DwMGaQ&amp;c=dpqHD2syzBCa0pPNCKl-DvX7tsADTsJ29aUMnGj5D6k&amp;r=0FCnM-cqnMeOk_phAsEqTjpDQjEzpUfmYKUyohJZK7E&amp;m=Pq1OPvlfZwwdoOiCTSroKLmLeyTcLvdzRCC7rKHBdS4&amp;s=dHnBbwSbqGHmEBD5RfjcbzvR1M-u-D6w8Hx4Uq2Ap8Q&amp;e="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https://procurement.wayne.edu/cash-and-credit-card-lots" TargetMode="External"/><Relationship Id="rId4" Type="http://schemas.openxmlformats.org/officeDocument/2006/relationships/image" Target="media/image1.png"/><Relationship Id="rId9" Type="http://schemas.openxmlformats.org/officeDocument/2006/relationships/hyperlink" Target="https://urldefense.proofpoint.com/v2/url?u=http-3A__maps.wayne.edu_view_-23structure1&amp;d=DwMGaQ&amp;c=dpqHD2syzBCa0pPNCKl-DvX7tsADTsJ29aUMnGj5D6k&amp;r=0FCnM-cqnMeOk_phAsEqTjpDQjEzpUfmYKUyohJZK7E&amp;m=Pq1OPvlfZwwdoOiCTSroKLmLeyTcLvdzRCC7rKHBdS4&amp;s=aJFTPasf9EsF3mlbNwLVwTtkJ_T9gXKkGx3yPPHASy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Doherty</dc:creator>
  <cp:keywords/>
  <dc:description/>
  <cp:lastModifiedBy>Kenneth Doherty</cp:lastModifiedBy>
  <cp:revision>2</cp:revision>
  <dcterms:created xsi:type="dcterms:W3CDTF">2018-07-23T18:53:00Z</dcterms:created>
  <dcterms:modified xsi:type="dcterms:W3CDTF">2018-07-23T18:53:00Z</dcterms:modified>
</cp:coreProperties>
</file>